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F7E53">
      <w:pPr>
        <w:pStyle w:val="4"/>
        <w:jc w:val="center"/>
        <w:outlineLvl w:val="1"/>
        <w:rPr>
          <w:color w:val="auto"/>
          <w:highlight w:val="none"/>
        </w:rPr>
      </w:pPr>
      <w:r>
        <w:rPr>
          <w:b/>
          <w:color w:val="auto"/>
          <w:sz w:val="36"/>
          <w:highlight w:val="none"/>
        </w:rPr>
        <w:t>采购需求</w:t>
      </w:r>
    </w:p>
    <w:p w14:paraId="6F0FDA06">
      <w:pPr>
        <w:pStyle w:val="4"/>
        <w:spacing w:line="360" w:lineRule="auto"/>
        <w:outlineLvl w:val="2"/>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一、项目概况：</w:t>
      </w:r>
    </w:p>
    <w:p w14:paraId="73909685">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1、项目名称：兴宁市2025年粮食生产先进县激励资金项目</w:t>
      </w:r>
    </w:p>
    <w:p w14:paraId="30F4964D">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2、项目预算：4,000,000.00元</w:t>
      </w:r>
    </w:p>
    <w:p w14:paraId="3D677FCC">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b/>
          <w:bCs/>
          <w:color w:val="auto"/>
          <w:sz w:val="20"/>
          <w:szCs w:val="20"/>
          <w:highlight w:val="none"/>
          <w:lang w:val="en-US" w:eastAsia="zh-Hans"/>
        </w:rPr>
      </w:pPr>
      <w:r>
        <w:rPr>
          <w:rFonts w:hint="eastAsia" w:ascii="宋体" w:hAnsi="宋体" w:eastAsia="宋体" w:cs="宋体"/>
          <w:b/>
          <w:bCs/>
          <w:color w:val="auto"/>
          <w:kern w:val="44"/>
          <w:sz w:val="20"/>
          <w:szCs w:val="20"/>
          <w:highlight w:val="none"/>
          <w:lang w:val="en-US" w:eastAsia="zh-CN" w:bidi="ar-SA"/>
        </w:rPr>
        <w:t>二</w:t>
      </w:r>
      <w:r>
        <w:rPr>
          <w:rFonts w:hint="eastAsia" w:ascii="宋体" w:hAnsi="宋体" w:eastAsia="宋体" w:cs="宋体"/>
          <w:b/>
          <w:bCs/>
          <w:color w:val="auto"/>
          <w:kern w:val="44"/>
          <w:sz w:val="20"/>
          <w:szCs w:val="20"/>
          <w:highlight w:val="none"/>
          <w:lang w:val="en-US" w:eastAsia="zh-Hans" w:bidi="ar-SA"/>
        </w:rPr>
        <w:t>、</w:t>
      </w:r>
      <w:r>
        <w:rPr>
          <w:rFonts w:hint="eastAsia" w:ascii="宋体" w:hAnsi="宋体" w:eastAsia="宋体" w:cs="宋体"/>
          <w:b/>
          <w:bCs/>
          <w:color w:val="auto"/>
          <w:sz w:val="20"/>
          <w:szCs w:val="20"/>
          <w:highlight w:val="none"/>
          <w:lang w:val="en-US" w:eastAsia="zh-CN"/>
        </w:rPr>
        <w:t>项目任务</w:t>
      </w:r>
    </w:p>
    <w:p w14:paraId="6B69ED0E">
      <w:pPr>
        <w:keepNext w:val="0"/>
        <w:keepLines w:val="0"/>
        <w:pageBreakBefore w:val="0"/>
        <w:widowControl w:val="0"/>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推广水稻合理密植和一喷多促等增产关键技术，通过</w:t>
      </w:r>
      <w:r>
        <w:rPr>
          <w:rFonts w:hint="eastAsia" w:ascii="宋体" w:hAnsi="宋体" w:eastAsia="宋体" w:cs="宋体"/>
          <w:color w:val="auto"/>
          <w:sz w:val="20"/>
          <w:szCs w:val="20"/>
          <w:highlight w:val="none"/>
          <w:lang w:val="en-US" w:eastAsia="zh-CN"/>
        </w:rPr>
        <w:t>推广</w:t>
      </w:r>
      <w:r>
        <w:rPr>
          <w:rFonts w:hint="eastAsia" w:ascii="宋体" w:hAnsi="宋体" w:eastAsia="宋体" w:cs="宋体"/>
          <w:color w:val="auto"/>
          <w:sz w:val="20"/>
          <w:szCs w:val="20"/>
          <w:highlight w:val="none"/>
        </w:rPr>
        <w:t>“高产优质良种或集中育秧+机插（抛）秧+一喷多促”的方式，落实水稻合理密植面积1万亩，栽插密度不低于1.6万穴或比当地平均水平增幅10%。推动撂荒耕地复耕并种植粮油作物，以部级图斑范围为主</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完成撂荒耕地复耕并种植粮油作物面积2500亩。</w:t>
      </w:r>
      <w:bookmarkStart w:id="0" w:name="_Toc5393"/>
    </w:p>
    <w:p w14:paraId="6328B671">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b/>
          <w:bCs/>
          <w:color w:val="auto"/>
          <w:sz w:val="20"/>
          <w:szCs w:val="20"/>
          <w:highlight w:val="none"/>
          <w:lang w:val="en-US" w:eastAsia="zh-Hans"/>
        </w:rPr>
      </w:pPr>
      <w:r>
        <w:rPr>
          <w:rFonts w:hint="eastAsia" w:ascii="宋体" w:hAnsi="宋体" w:eastAsia="宋体" w:cs="宋体"/>
          <w:b/>
          <w:bCs/>
          <w:color w:val="auto"/>
          <w:kern w:val="44"/>
          <w:sz w:val="20"/>
          <w:szCs w:val="20"/>
          <w:highlight w:val="none"/>
          <w:lang w:val="en-US" w:eastAsia="zh-CN" w:bidi="ar-SA"/>
        </w:rPr>
        <w:t>三</w:t>
      </w:r>
      <w:r>
        <w:rPr>
          <w:rFonts w:hint="eastAsia" w:ascii="宋体" w:hAnsi="宋体" w:eastAsia="宋体" w:cs="宋体"/>
          <w:b/>
          <w:bCs/>
          <w:color w:val="auto"/>
          <w:kern w:val="44"/>
          <w:sz w:val="20"/>
          <w:szCs w:val="20"/>
          <w:highlight w:val="none"/>
          <w:lang w:val="en-US" w:eastAsia="zh-Hans" w:bidi="ar-SA"/>
        </w:rPr>
        <w:t>、</w:t>
      </w:r>
      <w:r>
        <w:rPr>
          <w:rFonts w:hint="eastAsia" w:ascii="宋体" w:hAnsi="宋体" w:eastAsia="宋体" w:cs="宋体"/>
          <w:b/>
          <w:bCs/>
          <w:color w:val="auto"/>
          <w:sz w:val="20"/>
          <w:szCs w:val="20"/>
          <w:highlight w:val="none"/>
          <w:lang w:val="en-US" w:eastAsia="zh-CN"/>
        </w:rPr>
        <w:t>服务内容</w:t>
      </w:r>
      <w:bookmarkEnd w:id="0"/>
    </w:p>
    <w:p w14:paraId="52B3C044">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kern w:val="2"/>
          <w:sz w:val="20"/>
          <w:szCs w:val="20"/>
          <w:highlight w:val="none"/>
          <w:lang w:val="en-US" w:eastAsia="zh-CN" w:bidi="ar-SA"/>
        </w:rPr>
        <w:t>1、</w:t>
      </w:r>
      <w:r>
        <w:rPr>
          <w:rFonts w:hint="eastAsia" w:ascii="宋体" w:hAnsi="宋体" w:eastAsia="宋体" w:cs="宋体"/>
          <w:b/>
          <w:bCs/>
          <w:color w:val="auto"/>
          <w:sz w:val="20"/>
          <w:szCs w:val="20"/>
          <w:highlight w:val="none"/>
          <w:lang w:val="en-US" w:eastAsia="zh-CN"/>
        </w:rPr>
        <w:t>推广水稻合理密植和一喷多促等增产关键技术</w:t>
      </w:r>
    </w:p>
    <w:p w14:paraId="5613DE99">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围绕1万亩水稻合理密植技术推广任务，提供以下服务：</w:t>
      </w:r>
    </w:p>
    <w:p w14:paraId="05B5EF9D">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（1）推广适宜兴宁市的机插秧技术，提供农业机械使用咨询，农技咨询，落实合理密植技术标准。</w:t>
      </w:r>
    </w:p>
    <w:p w14:paraId="3D5E272F">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（2）水稻“一喷多促”药剂采购与配送服务。将磷钾叶面肥与杀虫剂、杀菌剂、植物生长调节剂（根据实际情况挑选药剂）科学配比，形成混合药液。按照项目区</w:t>
      </w:r>
      <w:r>
        <w:rPr>
          <w:rFonts w:hint="eastAsia" w:ascii="宋体" w:hAnsi="宋体" w:eastAsia="宋体" w:cs="宋体"/>
          <w:color w:val="auto"/>
          <w:sz w:val="20"/>
          <w:szCs w:val="20"/>
          <w:highlight w:val="none"/>
        </w:rPr>
        <w:t>灌浆初期</w:t>
      </w:r>
      <w:r>
        <w:rPr>
          <w:rFonts w:hint="eastAsia" w:ascii="宋体" w:hAnsi="宋体" w:eastAsia="宋体" w:cs="宋体"/>
          <w:color w:val="auto"/>
          <w:sz w:val="20"/>
          <w:szCs w:val="20"/>
          <w:highlight w:val="none"/>
          <w:lang w:val="en-US" w:eastAsia="zh-CN"/>
        </w:rPr>
        <w:t>喷洒1次的标准组织供应。</w:t>
      </w:r>
    </w:p>
    <w:p w14:paraId="3116D898">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（3）配方肥物化采购与配送服务。按照10000亩的标准组织供应水稻配方肥；提供配方肥采购与派发服务，并建立配方肥领取电子台账。</w:t>
      </w:r>
    </w:p>
    <w:p w14:paraId="59D6BC9B">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（4）良种物化采购与配送服务。推广宜机化，抗倒伏和病虫抗性较好的高产优质良种，按照10000亩的标准组织供应；提供良种采购与派发服务，并建立种子领取电子台账。</w:t>
      </w:r>
    </w:p>
    <w:p w14:paraId="66A182A4">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（5）项目宣传牌制作服务。选取2个核心示范田块建设示范标牌，宣传标牌规格为2×4米，离地1.5米。</w:t>
      </w:r>
    </w:p>
    <w:p w14:paraId="5438697A">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（6）明确地块边界、面积及空间分布信息，进行合理密植田块图斑上图，形成标准化的电子图斑档案并建立电子台账。</w:t>
      </w:r>
    </w:p>
    <w:p w14:paraId="419C7035">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（7）水稻合理密植相关技术推广培训服务。</w:t>
      </w:r>
    </w:p>
    <w:p w14:paraId="59BB03DF">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kern w:val="2"/>
          <w:sz w:val="20"/>
          <w:szCs w:val="20"/>
          <w:highlight w:val="none"/>
          <w:lang w:val="en-US" w:eastAsia="zh-CN" w:bidi="ar-SA"/>
        </w:rPr>
        <w:t>2、</w:t>
      </w:r>
      <w:r>
        <w:rPr>
          <w:rFonts w:hint="eastAsia" w:ascii="宋体" w:hAnsi="宋体" w:eastAsia="宋体" w:cs="宋体"/>
          <w:b/>
          <w:bCs/>
          <w:color w:val="auto"/>
          <w:sz w:val="20"/>
          <w:szCs w:val="20"/>
          <w:highlight w:val="none"/>
          <w:lang w:val="en-US" w:eastAsia="zh-CN"/>
        </w:rPr>
        <w:t>推动撂荒耕地复耕并种植粮油作物</w:t>
      </w:r>
    </w:p>
    <w:p w14:paraId="07EAC404">
      <w:pPr>
        <w:keepNext w:val="0"/>
        <w:keepLines w:val="0"/>
        <w:pageBreakBefore w:val="0"/>
        <w:widowControl w:val="0"/>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依据兴宁市现有疑似撂荒耕地的基本情况，结合相关主管单位的实际要求，基于生态环境工程原理，配合开展土地适宜性评价，选取具备复耕复种条件，并且可以种植粮油作物的2500亩撂荒耕地开展复耕复种，具体服务内容如下：</w:t>
      </w:r>
    </w:p>
    <w:p w14:paraId="79348454">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（1）复耕复种相关良种、药剂及肥料采购派发服务。按照2500亩的标准，采购可以用于复耕复种的水稻种子、水稻病虫害防控药剂及配方肥。</w:t>
      </w:r>
    </w:p>
    <w:p w14:paraId="081755BF">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（2）复耕复种情况核查服务，采用人工及无人机飞拍现场核查方式，抽取10%面积进行核查。</w:t>
      </w:r>
    </w:p>
    <w:p w14:paraId="3DD2BDBF">
      <w:pPr>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（3）复耕复种技术推广培训服务。</w:t>
      </w:r>
    </w:p>
    <w:p w14:paraId="59319D48">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kern w:val="2"/>
          <w:sz w:val="20"/>
          <w:szCs w:val="20"/>
          <w:highlight w:val="none"/>
          <w:lang w:val="en-US" w:eastAsia="zh-CN" w:bidi="ar-SA"/>
        </w:rPr>
        <w:t>3、</w:t>
      </w:r>
      <w:r>
        <w:rPr>
          <w:rFonts w:hint="eastAsia" w:ascii="宋体" w:hAnsi="宋体" w:eastAsia="宋体" w:cs="宋体"/>
          <w:b/>
          <w:bCs/>
          <w:color w:val="auto"/>
          <w:sz w:val="20"/>
          <w:szCs w:val="20"/>
          <w:highlight w:val="none"/>
          <w:lang w:val="en-US" w:eastAsia="zh-CN"/>
        </w:rPr>
        <w:t>项目实施过程台账管理及测产服务</w:t>
      </w:r>
    </w:p>
    <w:p w14:paraId="7F180C84">
      <w:pPr>
        <w:pageBreakBefore w:val="0"/>
        <w:widowControl w:val="0"/>
        <w:numPr>
          <w:ilvl w:val="0"/>
          <w:numId w:val="1"/>
        </w:numPr>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项目实施过程台账管理服务。</w:t>
      </w:r>
    </w:p>
    <w:p w14:paraId="6D930386">
      <w:pPr>
        <w:pageBreakBefore w:val="0"/>
        <w:widowControl w:val="0"/>
        <w:numPr>
          <w:ilvl w:val="0"/>
          <w:numId w:val="1"/>
        </w:numPr>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理论测产及测产数据上图入库服务。在项目实施区域选择5个具有代表性的田块，非项目区选择5个田块，分别进行取样测定理论产量。同时将栽插密度、每穴苗数以及测产数据上图入库，同实施田块图斑融合，可视化展示水稻合理密植推广实施成效。</w:t>
      </w:r>
    </w:p>
    <w:p w14:paraId="02E558BD">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kern w:val="2"/>
          <w:sz w:val="20"/>
          <w:szCs w:val="20"/>
          <w:highlight w:val="none"/>
          <w:lang w:val="en-US" w:eastAsia="zh-CN" w:bidi="ar-SA"/>
        </w:rPr>
        <w:t>4、</w:t>
      </w:r>
      <w:r>
        <w:rPr>
          <w:rFonts w:hint="eastAsia" w:ascii="宋体" w:hAnsi="宋体" w:eastAsia="宋体" w:cs="宋体"/>
          <w:b/>
          <w:bCs/>
          <w:color w:val="auto"/>
          <w:sz w:val="20"/>
          <w:szCs w:val="20"/>
          <w:highlight w:val="none"/>
          <w:lang w:val="en-US" w:eastAsia="zh-CN"/>
        </w:rPr>
        <w:t>项目其他要求</w:t>
      </w:r>
    </w:p>
    <w:p w14:paraId="17E363DF">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（1）</w:t>
      </w:r>
      <w:r>
        <w:rPr>
          <w:rFonts w:hint="eastAsia" w:ascii="宋体" w:hAnsi="宋体" w:eastAsia="宋体" w:cs="宋体"/>
          <w:color w:val="auto"/>
          <w:sz w:val="20"/>
          <w:szCs w:val="20"/>
          <w:highlight w:val="none"/>
          <w:lang w:val="en-US" w:eastAsia="zh-CN"/>
        </w:rPr>
        <w:t>投标人需为项目有效实施投入专业机械设备及配置专业技术服务人员。人员须具备项目信息化管理、土壤生态环境分析、数据管理、农业机械操作、项目效益分析、配方肥及药剂成分把关等能力。</w:t>
      </w:r>
    </w:p>
    <w:p w14:paraId="61BEE1FE">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（2）</w:t>
      </w:r>
      <w:r>
        <w:rPr>
          <w:rFonts w:hint="eastAsia" w:ascii="宋体" w:hAnsi="宋体" w:eastAsia="宋体" w:cs="宋体"/>
          <w:color w:val="auto"/>
          <w:sz w:val="20"/>
          <w:szCs w:val="20"/>
          <w:highlight w:val="none"/>
          <w:lang w:val="en-US" w:eastAsia="zh-CN"/>
        </w:rPr>
        <w:t>投标人需为项目有效实施制定服务方案，包括但不限于项目重点难点分析、项目服务内容分析、供货方案等。</w:t>
      </w:r>
    </w:p>
    <w:p w14:paraId="7B0D761F">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（3）</w:t>
      </w:r>
      <w:r>
        <w:rPr>
          <w:rFonts w:hint="eastAsia" w:ascii="宋体" w:hAnsi="宋体" w:eastAsia="宋体" w:cs="宋体"/>
          <w:color w:val="auto"/>
          <w:sz w:val="20"/>
          <w:szCs w:val="20"/>
          <w:highlight w:val="none"/>
          <w:lang w:val="en-US" w:eastAsia="zh-CN"/>
        </w:rPr>
        <w:t>投标人需为项目有效实施制定进度及质量保障方案。</w:t>
      </w:r>
    </w:p>
    <w:p w14:paraId="515CDF8E">
      <w:pPr>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color w:val="auto"/>
          <w:highlight w:val="none"/>
        </w:rPr>
      </w:pPr>
      <w:r>
        <w:rPr>
          <w:rFonts w:hint="eastAsia" w:ascii="宋体" w:hAnsi="宋体" w:eastAsia="宋体" w:cs="宋体"/>
          <w:color w:val="auto"/>
          <w:sz w:val="20"/>
          <w:szCs w:val="20"/>
          <w:highlight w:val="none"/>
          <w:lang w:val="en-US" w:eastAsia="zh-CN"/>
        </w:rPr>
        <w:t>（4）投标人需为项目有效实施制定履约服务方案，包括但不限于服务响应时间和应急措施等。</w:t>
      </w:r>
      <w:r>
        <w:rPr>
          <w:color w:val="auto"/>
          <w:highlight w:val="none"/>
        </w:rPr>
        <w:t xml:space="preserve"> </w:t>
      </w:r>
    </w:p>
    <w:p w14:paraId="37E9C40B">
      <w:pPr>
        <w:pStyle w:val="4"/>
        <w:jc w:val="both"/>
        <w:rPr>
          <w:color w:val="auto"/>
          <w:highlight w:val="none"/>
        </w:rPr>
      </w:pPr>
      <w:r>
        <w:rPr>
          <w:color w:val="auto"/>
          <w:highlight w:val="none"/>
        </w:rPr>
        <w:t>采购包1（</w:t>
      </w:r>
      <w:r>
        <w:rPr>
          <w:rFonts w:hint="eastAsia"/>
          <w:color w:val="auto"/>
          <w:highlight w:val="none"/>
          <w:lang w:eastAsia="zh-CN"/>
        </w:rPr>
        <w:t>兴宁市2025年粮食生产先进县激励资金项目</w:t>
      </w:r>
      <w:r>
        <w:rPr>
          <w:color w:val="auto"/>
          <w:highlight w:val="none"/>
        </w:rPr>
        <w:t>）</w:t>
      </w:r>
      <w:r>
        <w:rPr>
          <w:b/>
          <w:color w:val="auto"/>
          <w:highlight w:val="none"/>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0B89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904603">
            <w:pPr>
              <w:pStyle w:val="4"/>
              <w:rPr>
                <w:color w:val="auto"/>
                <w:highlight w:val="none"/>
              </w:rPr>
            </w:pPr>
            <w:r>
              <w:rPr>
                <w:color w:val="auto"/>
                <w:highlight w:val="none"/>
              </w:rPr>
              <w:t>标的提供的时间</w:t>
            </w:r>
          </w:p>
        </w:tc>
        <w:tc>
          <w:tcPr>
            <w:tcW w:w="4153" w:type="dxa"/>
          </w:tcPr>
          <w:p w14:paraId="590798BE">
            <w:pPr>
              <w:pStyle w:val="4"/>
              <w:rPr>
                <w:color w:val="auto"/>
                <w:highlight w:val="none"/>
              </w:rPr>
            </w:pPr>
            <w:r>
              <w:rPr>
                <w:color w:val="auto"/>
                <w:highlight w:val="none"/>
              </w:rPr>
              <w:t>自合同签订之日起</w:t>
            </w:r>
            <w:r>
              <w:rPr>
                <w:rFonts w:hint="eastAsia"/>
                <w:color w:val="auto"/>
                <w:highlight w:val="none"/>
                <w:lang w:val="en-US" w:eastAsia="zh-CN"/>
              </w:rPr>
              <w:t>至2026年12月底完成项目所有服务内容并验收</w:t>
            </w:r>
            <w:r>
              <w:rPr>
                <w:color w:val="auto"/>
                <w:highlight w:val="none"/>
              </w:rPr>
              <w:t>。</w:t>
            </w:r>
          </w:p>
        </w:tc>
      </w:tr>
      <w:tr w14:paraId="436B8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5F3F36">
            <w:pPr>
              <w:pStyle w:val="4"/>
              <w:rPr>
                <w:color w:val="auto"/>
                <w:highlight w:val="none"/>
              </w:rPr>
            </w:pPr>
            <w:r>
              <w:rPr>
                <w:color w:val="auto"/>
                <w:highlight w:val="none"/>
              </w:rPr>
              <w:t>标的提供的地点</w:t>
            </w:r>
          </w:p>
        </w:tc>
        <w:tc>
          <w:tcPr>
            <w:tcW w:w="4153" w:type="dxa"/>
          </w:tcPr>
          <w:p w14:paraId="5679353E">
            <w:pPr>
              <w:pStyle w:val="4"/>
              <w:rPr>
                <w:color w:val="auto"/>
                <w:highlight w:val="none"/>
              </w:rPr>
            </w:pPr>
            <w:r>
              <w:rPr>
                <w:rFonts w:hint="eastAsia"/>
                <w:color w:val="auto"/>
                <w:highlight w:val="none"/>
                <w:lang w:val="en-US" w:eastAsia="zh-CN"/>
              </w:rPr>
              <w:t>采购人指定地点</w:t>
            </w:r>
            <w:r>
              <w:rPr>
                <w:color w:val="auto"/>
                <w:highlight w:val="none"/>
              </w:rPr>
              <w:t>。</w:t>
            </w:r>
          </w:p>
        </w:tc>
      </w:tr>
      <w:tr w14:paraId="11135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9B19D4">
            <w:pPr>
              <w:pStyle w:val="4"/>
              <w:rPr>
                <w:color w:val="auto"/>
                <w:highlight w:val="none"/>
              </w:rPr>
            </w:pPr>
            <w:r>
              <w:rPr>
                <w:color w:val="auto"/>
                <w:highlight w:val="none"/>
              </w:rPr>
              <w:t>付款方式</w:t>
            </w:r>
          </w:p>
        </w:tc>
        <w:tc>
          <w:tcPr>
            <w:tcW w:w="4153" w:type="dxa"/>
          </w:tcPr>
          <w:p w14:paraId="7C573F8B">
            <w:pPr>
              <w:pStyle w:val="4"/>
              <w:rPr>
                <w:rFonts w:hint="default" w:eastAsiaTheme="minorEastAsia"/>
                <w:color w:val="auto"/>
                <w:highlight w:val="none"/>
                <w:lang w:val="en-US" w:eastAsia="zh-CN"/>
              </w:rPr>
            </w:pPr>
            <w:r>
              <w:rPr>
                <w:color w:val="auto"/>
                <w:highlight w:val="none"/>
              </w:rPr>
              <w:t>1期：支付比例</w:t>
            </w:r>
            <w:r>
              <w:rPr>
                <w:rFonts w:hint="eastAsia"/>
                <w:color w:val="auto"/>
                <w:highlight w:val="none"/>
                <w:lang w:val="en-US" w:eastAsia="zh-CN"/>
              </w:rPr>
              <w:t>30</w:t>
            </w:r>
            <w:r>
              <w:rPr>
                <w:color w:val="auto"/>
                <w:highlight w:val="none"/>
              </w:rPr>
              <w:t>%</w:t>
            </w:r>
            <w:r>
              <w:rPr>
                <w:rFonts w:hint="eastAsia"/>
                <w:color w:val="auto"/>
                <w:highlight w:val="none"/>
                <w:lang w:eastAsia="zh-CN"/>
              </w:rPr>
              <w:t>，</w:t>
            </w:r>
            <w:r>
              <w:rPr>
                <w:rFonts w:hint="eastAsia"/>
                <w:color w:val="auto"/>
                <w:highlight w:val="none"/>
                <w:lang w:val="en-US" w:eastAsia="zh-CN"/>
              </w:rPr>
              <w:t>合同签订生效，中标人</w:t>
            </w:r>
            <w:r>
              <w:rPr>
                <w:color w:val="auto"/>
                <w:highlight w:val="none"/>
              </w:rPr>
              <w:t>凭国家正式发票向采购人申请付款</w:t>
            </w:r>
            <w:r>
              <w:rPr>
                <w:rFonts w:hint="eastAsia"/>
                <w:color w:val="auto"/>
                <w:highlight w:val="none"/>
                <w:lang w:val="en-US" w:eastAsia="zh-CN"/>
              </w:rPr>
              <w:t>，采购人收到申请后在5个工作日内支付合同总金额的30%预付款。</w:t>
            </w:r>
          </w:p>
          <w:p w14:paraId="328AC16C">
            <w:pPr>
              <w:pStyle w:val="4"/>
              <w:rPr>
                <w:color w:val="auto"/>
                <w:highlight w:val="none"/>
              </w:rPr>
            </w:pPr>
            <w:r>
              <w:rPr>
                <w:rFonts w:hint="eastAsia"/>
                <w:color w:val="auto"/>
                <w:highlight w:val="none"/>
                <w:lang w:val="en-US" w:eastAsia="zh-CN"/>
              </w:rPr>
              <w:t>2期：</w:t>
            </w:r>
            <w:r>
              <w:rPr>
                <w:color w:val="auto"/>
                <w:highlight w:val="none"/>
              </w:rPr>
              <w:t>支付比例</w:t>
            </w:r>
            <w:r>
              <w:rPr>
                <w:rFonts w:hint="eastAsia"/>
                <w:color w:val="auto"/>
                <w:highlight w:val="none"/>
                <w:lang w:val="en-US" w:eastAsia="zh-CN"/>
              </w:rPr>
              <w:t>50</w:t>
            </w:r>
            <w:r>
              <w:rPr>
                <w:color w:val="auto"/>
                <w:highlight w:val="none"/>
              </w:rPr>
              <w:t>%</w:t>
            </w:r>
            <w:r>
              <w:rPr>
                <w:rFonts w:hint="eastAsia"/>
                <w:color w:val="auto"/>
                <w:highlight w:val="none"/>
                <w:lang w:eastAsia="zh-CN"/>
              </w:rPr>
              <w:t>，</w:t>
            </w:r>
            <w:r>
              <w:rPr>
                <w:rFonts w:hint="eastAsia"/>
                <w:color w:val="auto"/>
                <w:highlight w:val="none"/>
                <w:lang w:val="en-US" w:eastAsia="zh-CN"/>
              </w:rPr>
              <w:t>中标人发出进场通知书</w:t>
            </w:r>
            <w:r>
              <w:rPr>
                <w:color w:val="auto"/>
                <w:highlight w:val="none"/>
              </w:rPr>
              <w:t>，</w:t>
            </w:r>
            <w:r>
              <w:rPr>
                <w:rFonts w:hint="eastAsia"/>
                <w:color w:val="auto"/>
                <w:highlight w:val="none"/>
                <w:lang w:val="en-US" w:eastAsia="zh-CN"/>
              </w:rPr>
              <w:t>中标人</w:t>
            </w:r>
            <w:r>
              <w:rPr>
                <w:color w:val="auto"/>
                <w:highlight w:val="none"/>
              </w:rPr>
              <w:t>凭国家正式发票向采购人申请付款，采购人收到申请后在</w:t>
            </w:r>
            <w:r>
              <w:rPr>
                <w:rFonts w:hint="eastAsia"/>
                <w:color w:val="auto"/>
                <w:highlight w:val="none"/>
                <w:lang w:val="en-US" w:eastAsia="zh-CN"/>
              </w:rPr>
              <w:t>5</w:t>
            </w:r>
            <w:r>
              <w:rPr>
                <w:color w:val="auto"/>
                <w:highlight w:val="none"/>
              </w:rPr>
              <w:t>个工作日内支付</w:t>
            </w:r>
            <w:r>
              <w:rPr>
                <w:rFonts w:hint="eastAsia"/>
                <w:color w:val="auto"/>
                <w:highlight w:val="none"/>
                <w:lang w:val="en-US" w:eastAsia="zh-CN"/>
              </w:rPr>
              <w:t>合同总金额的50%</w:t>
            </w:r>
            <w:r>
              <w:rPr>
                <w:color w:val="auto"/>
                <w:highlight w:val="none"/>
              </w:rPr>
              <w:t>。</w:t>
            </w:r>
          </w:p>
          <w:p w14:paraId="13A47FAB">
            <w:pPr>
              <w:pStyle w:val="4"/>
              <w:rPr>
                <w:color w:val="auto"/>
                <w:highlight w:val="none"/>
              </w:rPr>
            </w:pPr>
            <w:r>
              <w:rPr>
                <w:rFonts w:hint="eastAsia"/>
                <w:color w:val="auto"/>
                <w:highlight w:val="none"/>
                <w:lang w:val="en-US" w:eastAsia="zh-CN"/>
              </w:rPr>
              <w:t>3期：</w:t>
            </w:r>
            <w:r>
              <w:rPr>
                <w:color w:val="auto"/>
                <w:highlight w:val="none"/>
              </w:rPr>
              <w:t>支付比例</w:t>
            </w:r>
            <w:r>
              <w:rPr>
                <w:rFonts w:hint="eastAsia"/>
                <w:color w:val="auto"/>
                <w:highlight w:val="none"/>
                <w:lang w:val="en-US" w:eastAsia="zh-CN"/>
              </w:rPr>
              <w:t>20</w:t>
            </w:r>
            <w:r>
              <w:rPr>
                <w:color w:val="auto"/>
                <w:highlight w:val="none"/>
              </w:rPr>
              <w:t>%</w:t>
            </w:r>
            <w:r>
              <w:rPr>
                <w:rFonts w:hint="eastAsia"/>
                <w:color w:val="auto"/>
                <w:highlight w:val="none"/>
                <w:lang w:eastAsia="zh-CN"/>
              </w:rPr>
              <w:t>，</w:t>
            </w:r>
            <w:r>
              <w:rPr>
                <w:rFonts w:hint="eastAsia"/>
                <w:color w:val="auto"/>
                <w:highlight w:val="none"/>
                <w:lang w:val="en-US" w:eastAsia="zh-CN"/>
              </w:rPr>
              <w:t>采</w:t>
            </w:r>
            <w:r>
              <w:rPr>
                <w:color w:val="auto"/>
                <w:highlight w:val="none"/>
              </w:rPr>
              <w:t>购人验收合格后，</w:t>
            </w:r>
            <w:r>
              <w:rPr>
                <w:rFonts w:hint="eastAsia"/>
                <w:color w:val="auto"/>
                <w:highlight w:val="none"/>
                <w:lang w:val="en-US" w:eastAsia="zh-CN"/>
              </w:rPr>
              <w:t>中标人</w:t>
            </w:r>
            <w:r>
              <w:rPr>
                <w:color w:val="auto"/>
                <w:highlight w:val="none"/>
              </w:rPr>
              <w:t>凭国家正式发票向采购人申请付款，采购人收到申请后在</w:t>
            </w:r>
            <w:r>
              <w:rPr>
                <w:rFonts w:hint="eastAsia"/>
                <w:color w:val="auto"/>
                <w:highlight w:val="none"/>
                <w:lang w:val="en-US" w:eastAsia="zh-CN"/>
              </w:rPr>
              <w:t>,5</w:t>
            </w:r>
            <w:r>
              <w:rPr>
                <w:color w:val="auto"/>
                <w:highlight w:val="none"/>
              </w:rPr>
              <w:t>个工作日内支付</w:t>
            </w:r>
            <w:r>
              <w:rPr>
                <w:rFonts w:hint="eastAsia"/>
                <w:color w:val="auto"/>
                <w:highlight w:val="none"/>
                <w:lang w:val="en-US" w:eastAsia="zh-CN"/>
              </w:rPr>
              <w:t>合同总金额的20%</w:t>
            </w:r>
            <w:r>
              <w:rPr>
                <w:color w:val="auto"/>
                <w:highlight w:val="none"/>
              </w:rPr>
              <w:t>。</w:t>
            </w:r>
          </w:p>
          <w:p w14:paraId="692013B6">
            <w:pPr>
              <w:pStyle w:val="4"/>
              <w:rPr>
                <w:rFonts w:hint="eastAsia" w:eastAsiaTheme="minorEastAsia"/>
                <w:color w:val="auto"/>
                <w:highlight w:val="none"/>
                <w:lang w:eastAsia="zh-CN"/>
              </w:rPr>
            </w:pPr>
            <w:r>
              <w:rPr>
                <w:rFonts w:hint="eastAsia"/>
                <w:color w:val="auto"/>
                <w:highlight w:val="none"/>
                <w:lang w:val="en-US" w:eastAsia="zh-CN"/>
              </w:rPr>
              <w:t>注：1</w:t>
            </w:r>
            <w:r>
              <w:rPr>
                <w:color w:val="auto"/>
                <w:highlight w:val="none"/>
              </w:rPr>
              <w:t>.采购人凭以下文件支付合同款：</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 xml:space="preserve"> 中标通知书</w:t>
            </w:r>
            <w:r>
              <w:rPr>
                <w:rFonts w:hint="eastAsia"/>
                <w:color w:val="auto"/>
                <w:highlight w:val="none"/>
                <w:lang w:eastAsia="zh-CN"/>
              </w:rPr>
              <w:t>（</w:t>
            </w:r>
            <w:r>
              <w:rPr>
                <w:rFonts w:hint="eastAsia"/>
                <w:color w:val="auto"/>
                <w:highlight w:val="none"/>
                <w:lang w:val="en-US" w:eastAsia="zh-CN"/>
              </w:rPr>
              <w:t>首次支付时提供</w:t>
            </w:r>
            <w:r>
              <w:rPr>
                <w:rFonts w:hint="eastAsia"/>
                <w:color w:val="auto"/>
                <w:highlight w:val="none"/>
                <w:lang w:eastAsia="zh-CN"/>
              </w:rPr>
              <w:t>）</w:t>
            </w:r>
            <w:r>
              <w:rPr>
                <w:color w:val="auto"/>
                <w:highlight w:val="none"/>
              </w:rPr>
              <w:t>；</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货物近场通知单；</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验收合格</w:t>
            </w:r>
            <w:r>
              <w:rPr>
                <w:rFonts w:hint="eastAsia"/>
                <w:color w:val="auto"/>
                <w:highlight w:val="none"/>
                <w:lang w:eastAsia="zh-CN"/>
              </w:rPr>
              <w:t>的</w:t>
            </w:r>
            <w:r>
              <w:rPr>
                <w:rFonts w:hint="eastAsia"/>
                <w:color w:val="auto"/>
                <w:highlight w:val="none"/>
                <w:lang w:val="en-US" w:eastAsia="zh-CN"/>
              </w:rPr>
              <w:t>资料</w:t>
            </w:r>
            <w:r>
              <w:rPr>
                <w:color w:val="auto"/>
                <w:highlight w:val="none"/>
              </w:rPr>
              <w:t>；</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 xml:space="preserve">中标人开具有效的正式发票。 </w:t>
            </w:r>
          </w:p>
          <w:p w14:paraId="26B54A04">
            <w:pPr>
              <w:pStyle w:val="4"/>
              <w:rPr>
                <w:rFonts w:hint="eastAsia" w:eastAsiaTheme="minorEastAsia"/>
                <w:color w:val="auto"/>
                <w:highlight w:val="none"/>
                <w:lang w:eastAsia="zh-CN"/>
              </w:rPr>
            </w:pPr>
            <w:r>
              <w:rPr>
                <w:color w:val="auto"/>
                <w:highlight w:val="none"/>
              </w:rPr>
              <w:t>如项目发生合同融资，采购人需将合同款项支付到合同约定收款账户</w:t>
            </w:r>
            <w:r>
              <w:rPr>
                <w:rFonts w:hint="eastAsia"/>
                <w:color w:val="auto"/>
                <w:highlight w:val="none"/>
                <w:lang w:eastAsia="zh-CN"/>
              </w:rPr>
              <w:t>。</w:t>
            </w:r>
          </w:p>
        </w:tc>
      </w:tr>
      <w:tr w14:paraId="77366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E43BE3">
            <w:pPr>
              <w:pStyle w:val="4"/>
              <w:rPr>
                <w:color w:val="auto"/>
                <w:highlight w:val="none"/>
              </w:rPr>
            </w:pPr>
            <w:r>
              <w:rPr>
                <w:color w:val="auto"/>
                <w:highlight w:val="none"/>
              </w:rPr>
              <w:t>验收要求</w:t>
            </w:r>
          </w:p>
        </w:tc>
        <w:tc>
          <w:tcPr>
            <w:tcW w:w="4153" w:type="dxa"/>
          </w:tcPr>
          <w:p w14:paraId="30ABB13B">
            <w:pPr>
              <w:pStyle w:val="4"/>
              <w:rPr>
                <w:rFonts w:hint="eastAsia" w:eastAsiaTheme="minorEastAsia"/>
                <w:color w:val="auto"/>
                <w:highlight w:val="none"/>
                <w:lang w:eastAsia="zh-CN"/>
              </w:rPr>
            </w:pPr>
            <w:r>
              <w:rPr>
                <w:color w:val="auto"/>
                <w:highlight w:val="none"/>
              </w:rPr>
              <w:t>1期：按照相关验收规范进行验收资料，整理档案归档，配合</w:t>
            </w:r>
            <w:r>
              <w:rPr>
                <w:rFonts w:hint="eastAsia"/>
                <w:color w:val="auto"/>
                <w:highlight w:val="none"/>
                <w:lang w:val="en-US" w:eastAsia="zh-CN"/>
              </w:rPr>
              <w:t>兴宁</w:t>
            </w:r>
            <w:r>
              <w:rPr>
                <w:color w:val="auto"/>
                <w:highlight w:val="none"/>
              </w:rPr>
              <w:t>市农业农村局组织验收</w:t>
            </w:r>
            <w:r>
              <w:rPr>
                <w:rFonts w:hint="eastAsia"/>
                <w:color w:val="auto"/>
                <w:highlight w:val="none"/>
                <w:lang w:eastAsia="zh-CN"/>
              </w:rPr>
              <w:t>。</w:t>
            </w:r>
          </w:p>
        </w:tc>
      </w:tr>
      <w:tr w14:paraId="2EE5F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55B6E9">
            <w:pPr>
              <w:pStyle w:val="4"/>
              <w:rPr>
                <w:color w:val="auto"/>
                <w:highlight w:val="none"/>
              </w:rPr>
            </w:pPr>
            <w:r>
              <w:rPr>
                <w:color w:val="auto"/>
                <w:highlight w:val="none"/>
              </w:rPr>
              <w:t>履约保证金</w:t>
            </w:r>
          </w:p>
        </w:tc>
        <w:tc>
          <w:tcPr>
            <w:tcW w:w="4153" w:type="dxa"/>
          </w:tcPr>
          <w:p w14:paraId="2965EA08">
            <w:pPr>
              <w:pStyle w:val="4"/>
              <w:rPr>
                <w:color w:val="auto"/>
                <w:highlight w:val="none"/>
              </w:rPr>
            </w:pPr>
            <w:r>
              <w:rPr>
                <w:color w:val="auto"/>
                <w:highlight w:val="none"/>
              </w:rPr>
              <w:t>不收取</w:t>
            </w:r>
          </w:p>
        </w:tc>
      </w:tr>
      <w:tr w14:paraId="456FA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DB3E47">
            <w:pPr>
              <w:pStyle w:val="4"/>
              <w:rPr>
                <w:color w:val="auto"/>
                <w:highlight w:val="none"/>
              </w:rPr>
            </w:pPr>
            <w:r>
              <w:rPr>
                <w:color w:val="auto"/>
                <w:highlight w:val="none"/>
              </w:rPr>
              <w:t>其他</w:t>
            </w:r>
          </w:p>
        </w:tc>
        <w:tc>
          <w:tcPr>
            <w:tcW w:w="4153" w:type="dxa"/>
          </w:tcPr>
          <w:p w14:paraId="2B4FB91D">
            <w:pPr>
              <w:pStyle w:val="4"/>
              <w:rPr>
                <w:color w:val="auto"/>
                <w:highlight w:val="none"/>
              </w:rPr>
            </w:pPr>
          </w:p>
        </w:tc>
      </w:tr>
    </w:tbl>
    <w:p w14:paraId="507F3577">
      <w:pPr>
        <w:pStyle w:val="4"/>
        <w:rPr>
          <w:color w:val="auto"/>
          <w:highlight w:val="none"/>
        </w:rPr>
      </w:pPr>
      <w:r>
        <w:rPr>
          <w:b/>
          <w:color w:val="auto"/>
          <w:highlight w:val="none"/>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9"/>
        <w:gridCol w:w="819"/>
        <w:gridCol w:w="1089"/>
        <w:gridCol w:w="819"/>
        <w:gridCol w:w="853"/>
        <w:gridCol w:w="1279"/>
        <w:gridCol w:w="1279"/>
        <w:gridCol w:w="746"/>
        <w:gridCol w:w="819"/>
      </w:tblGrid>
      <w:tr w14:paraId="44B8E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F8D5E9C">
            <w:pPr>
              <w:pStyle w:val="4"/>
              <w:jc w:val="center"/>
              <w:rPr>
                <w:color w:val="auto"/>
                <w:highlight w:val="none"/>
              </w:rPr>
            </w:pPr>
            <w:r>
              <w:rPr>
                <w:color w:val="auto"/>
                <w:highlight w:val="none"/>
              </w:rPr>
              <w:t>序号</w:t>
            </w:r>
          </w:p>
        </w:tc>
        <w:tc>
          <w:tcPr>
            <w:tcW w:w="819" w:type="dxa"/>
          </w:tcPr>
          <w:p w14:paraId="3C56FAF0">
            <w:pPr>
              <w:pStyle w:val="4"/>
              <w:jc w:val="center"/>
              <w:rPr>
                <w:color w:val="auto"/>
                <w:highlight w:val="none"/>
              </w:rPr>
            </w:pPr>
            <w:r>
              <w:rPr>
                <w:color w:val="auto"/>
                <w:highlight w:val="none"/>
              </w:rPr>
              <w:t>品目名称</w:t>
            </w:r>
          </w:p>
        </w:tc>
        <w:tc>
          <w:tcPr>
            <w:tcW w:w="1089" w:type="dxa"/>
          </w:tcPr>
          <w:p w14:paraId="39724487">
            <w:pPr>
              <w:pStyle w:val="4"/>
              <w:jc w:val="center"/>
              <w:rPr>
                <w:color w:val="auto"/>
                <w:highlight w:val="none"/>
              </w:rPr>
            </w:pPr>
            <w:r>
              <w:rPr>
                <w:color w:val="auto"/>
                <w:highlight w:val="none"/>
              </w:rPr>
              <w:t>标的名称</w:t>
            </w:r>
          </w:p>
        </w:tc>
        <w:tc>
          <w:tcPr>
            <w:tcW w:w="819" w:type="dxa"/>
          </w:tcPr>
          <w:p w14:paraId="349FC65E">
            <w:pPr>
              <w:pStyle w:val="4"/>
              <w:jc w:val="center"/>
              <w:rPr>
                <w:color w:val="auto"/>
                <w:highlight w:val="none"/>
              </w:rPr>
            </w:pPr>
            <w:r>
              <w:rPr>
                <w:color w:val="auto"/>
                <w:highlight w:val="none"/>
              </w:rPr>
              <w:t>单位</w:t>
            </w:r>
          </w:p>
        </w:tc>
        <w:tc>
          <w:tcPr>
            <w:tcW w:w="853" w:type="dxa"/>
          </w:tcPr>
          <w:p w14:paraId="16733005">
            <w:pPr>
              <w:pStyle w:val="4"/>
              <w:jc w:val="center"/>
              <w:rPr>
                <w:color w:val="auto"/>
                <w:highlight w:val="none"/>
              </w:rPr>
            </w:pPr>
            <w:r>
              <w:rPr>
                <w:color w:val="auto"/>
                <w:highlight w:val="none"/>
              </w:rPr>
              <w:t>数量</w:t>
            </w:r>
          </w:p>
        </w:tc>
        <w:tc>
          <w:tcPr>
            <w:tcW w:w="1279" w:type="dxa"/>
          </w:tcPr>
          <w:p w14:paraId="6E4319A5">
            <w:pPr>
              <w:pStyle w:val="4"/>
              <w:jc w:val="center"/>
              <w:rPr>
                <w:color w:val="auto"/>
                <w:highlight w:val="none"/>
              </w:rPr>
            </w:pPr>
            <w:r>
              <w:rPr>
                <w:color w:val="auto"/>
                <w:highlight w:val="none"/>
              </w:rPr>
              <w:t>分项预算单价（元）</w:t>
            </w:r>
          </w:p>
        </w:tc>
        <w:tc>
          <w:tcPr>
            <w:tcW w:w="1279" w:type="dxa"/>
          </w:tcPr>
          <w:p w14:paraId="470B6A64">
            <w:pPr>
              <w:pStyle w:val="4"/>
              <w:jc w:val="center"/>
              <w:rPr>
                <w:color w:val="auto"/>
                <w:highlight w:val="none"/>
              </w:rPr>
            </w:pPr>
            <w:r>
              <w:rPr>
                <w:color w:val="auto"/>
                <w:highlight w:val="none"/>
              </w:rPr>
              <w:t>分项预算总价（元）</w:t>
            </w:r>
          </w:p>
        </w:tc>
        <w:tc>
          <w:tcPr>
            <w:tcW w:w="746" w:type="dxa"/>
          </w:tcPr>
          <w:p w14:paraId="7C491D96">
            <w:pPr>
              <w:pStyle w:val="4"/>
              <w:rPr>
                <w:color w:val="auto"/>
                <w:highlight w:val="none"/>
              </w:rPr>
            </w:pPr>
            <w:r>
              <w:rPr>
                <w:color w:val="auto"/>
                <w:highlight w:val="none"/>
              </w:rPr>
              <w:t>所属行业</w:t>
            </w:r>
          </w:p>
        </w:tc>
        <w:tc>
          <w:tcPr>
            <w:tcW w:w="819" w:type="dxa"/>
          </w:tcPr>
          <w:p w14:paraId="0C6A7B38">
            <w:pPr>
              <w:pStyle w:val="4"/>
              <w:jc w:val="center"/>
              <w:rPr>
                <w:color w:val="auto"/>
                <w:highlight w:val="none"/>
              </w:rPr>
            </w:pPr>
            <w:r>
              <w:rPr>
                <w:color w:val="auto"/>
                <w:highlight w:val="none"/>
              </w:rPr>
              <w:t>技术要求</w:t>
            </w:r>
          </w:p>
        </w:tc>
      </w:tr>
      <w:tr w14:paraId="09E3D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4F3985A6">
            <w:pPr>
              <w:pStyle w:val="4"/>
              <w:jc w:val="center"/>
              <w:rPr>
                <w:color w:val="auto"/>
                <w:highlight w:val="none"/>
              </w:rPr>
            </w:pPr>
            <w:r>
              <w:rPr>
                <w:color w:val="auto"/>
                <w:highlight w:val="none"/>
              </w:rPr>
              <w:t>1</w:t>
            </w:r>
          </w:p>
        </w:tc>
        <w:tc>
          <w:tcPr>
            <w:tcW w:w="819" w:type="dxa"/>
          </w:tcPr>
          <w:p w14:paraId="6BED036D">
            <w:pPr>
              <w:pStyle w:val="4"/>
              <w:jc w:val="left"/>
              <w:rPr>
                <w:rFonts w:hint="default" w:eastAsiaTheme="minorEastAsia"/>
                <w:color w:val="auto"/>
                <w:highlight w:val="none"/>
                <w:lang w:val="en-US" w:eastAsia="zh-CN"/>
              </w:rPr>
            </w:pPr>
            <w:r>
              <w:rPr>
                <w:rFonts w:hint="eastAsia"/>
                <w:color w:val="auto"/>
                <w:highlight w:val="none"/>
                <w:lang w:val="en-US" w:eastAsia="zh-CN"/>
              </w:rPr>
              <w:t>其他农业服务</w:t>
            </w:r>
          </w:p>
        </w:tc>
        <w:tc>
          <w:tcPr>
            <w:tcW w:w="1089" w:type="dxa"/>
          </w:tcPr>
          <w:p w14:paraId="5D7A0601">
            <w:pPr>
              <w:pStyle w:val="4"/>
              <w:jc w:val="left"/>
              <w:rPr>
                <w:rFonts w:hint="eastAsia" w:eastAsiaTheme="minorEastAsia"/>
                <w:color w:val="auto"/>
                <w:highlight w:val="none"/>
                <w:lang w:eastAsia="zh-CN"/>
              </w:rPr>
            </w:pPr>
            <w:r>
              <w:rPr>
                <w:rFonts w:hint="eastAsia"/>
                <w:color w:val="auto"/>
                <w:highlight w:val="none"/>
                <w:lang w:eastAsia="zh-CN"/>
              </w:rPr>
              <w:t>兴宁市2025年粮食生产先进县激励资金项目</w:t>
            </w:r>
          </w:p>
        </w:tc>
        <w:tc>
          <w:tcPr>
            <w:tcW w:w="819" w:type="dxa"/>
          </w:tcPr>
          <w:p w14:paraId="0725EB07">
            <w:pPr>
              <w:pStyle w:val="4"/>
              <w:jc w:val="left"/>
              <w:rPr>
                <w:color w:val="auto"/>
                <w:highlight w:val="none"/>
              </w:rPr>
            </w:pPr>
            <w:r>
              <w:rPr>
                <w:color w:val="auto"/>
                <w:highlight w:val="none"/>
              </w:rPr>
              <w:t>项</w:t>
            </w:r>
          </w:p>
        </w:tc>
        <w:tc>
          <w:tcPr>
            <w:tcW w:w="853" w:type="dxa"/>
          </w:tcPr>
          <w:p w14:paraId="2AF4980E">
            <w:pPr>
              <w:pStyle w:val="4"/>
              <w:jc w:val="right"/>
              <w:rPr>
                <w:color w:val="auto"/>
                <w:highlight w:val="none"/>
              </w:rPr>
            </w:pPr>
            <w:r>
              <w:rPr>
                <w:color w:val="auto"/>
                <w:highlight w:val="none"/>
              </w:rPr>
              <w:t>1.00</w:t>
            </w:r>
          </w:p>
        </w:tc>
        <w:tc>
          <w:tcPr>
            <w:tcW w:w="1279" w:type="dxa"/>
          </w:tcPr>
          <w:p w14:paraId="6579B85A">
            <w:pPr>
              <w:pStyle w:val="4"/>
              <w:jc w:val="right"/>
              <w:rPr>
                <w:rFonts w:hint="eastAsia" w:eastAsiaTheme="minorEastAsia"/>
                <w:color w:val="auto"/>
                <w:highlight w:val="none"/>
                <w:lang w:eastAsia="zh-CN"/>
              </w:rPr>
            </w:pPr>
            <w:r>
              <w:rPr>
                <w:rFonts w:hint="eastAsia"/>
                <w:color w:val="auto"/>
                <w:highlight w:val="none"/>
                <w:lang w:eastAsia="zh-CN"/>
              </w:rPr>
              <w:t>4,000,000.00</w:t>
            </w:r>
          </w:p>
        </w:tc>
        <w:tc>
          <w:tcPr>
            <w:tcW w:w="1279" w:type="dxa"/>
          </w:tcPr>
          <w:p w14:paraId="7B05412A">
            <w:pPr>
              <w:pStyle w:val="4"/>
              <w:jc w:val="right"/>
              <w:rPr>
                <w:rFonts w:hint="eastAsia" w:eastAsiaTheme="minorEastAsia"/>
                <w:color w:val="auto"/>
                <w:highlight w:val="none"/>
                <w:lang w:eastAsia="zh-CN"/>
              </w:rPr>
            </w:pPr>
            <w:r>
              <w:rPr>
                <w:rFonts w:hint="eastAsia"/>
                <w:color w:val="auto"/>
                <w:highlight w:val="none"/>
                <w:lang w:eastAsia="zh-CN"/>
              </w:rPr>
              <w:t>4,000,000.00</w:t>
            </w:r>
          </w:p>
        </w:tc>
        <w:tc>
          <w:tcPr>
            <w:tcW w:w="746" w:type="dxa"/>
          </w:tcPr>
          <w:p w14:paraId="64EA14E4">
            <w:pPr>
              <w:pStyle w:val="4"/>
              <w:rPr>
                <w:color w:val="auto"/>
                <w:highlight w:val="none"/>
              </w:rPr>
            </w:pPr>
            <w:r>
              <w:rPr>
                <w:color w:val="auto"/>
                <w:highlight w:val="none"/>
              </w:rPr>
              <w:t>农、林、牧、渔业</w:t>
            </w:r>
          </w:p>
        </w:tc>
        <w:tc>
          <w:tcPr>
            <w:tcW w:w="819" w:type="dxa"/>
          </w:tcPr>
          <w:p w14:paraId="4EBE1A18">
            <w:pPr>
              <w:pStyle w:val="4"/>
              <w:rPr>
                <w:color w:val="auto"/>
                <w:highlight w:val="none"/>
              </w:rPr>
            </w:pPr>
            <w:r>
              <w:rPr>
                <w:color w:val="auto"/>
                <w:highlight w:val="none"/>
              </w:rPr>
              <w:t>详见附表一</w:t>
            </w:r>
          </w:p>
        </w:tc>
      </w:tr>
    </w:tbl>
    <w:p w14:paraId="3B2F7B16">
      <w:pPr>
        <w:pStyle w:val="4"/>
        <w:rPr>
          <w:color w:val="auto"/>
          <w:highlight w:val="none"/>
        </w:rPr>
      </w:pPr>
    </w:p>
    <w:p w14:paraId="4E909493">
      <w:pPr>
        <w:pStyle w:val="4"/>
        <w:rPr>
          <w:color w:val="auto"/>
          <w:highlight w:val="none"/>
        </w:rPr>
      </w:pPr>
      <w:r>
        <w:rPr>
          <w:b/>
          <w:color w:val="auto"/>
          <w:highlight w:val="none"/>
        </w:rPr>
        <w:t>附表一：</w:t>
      </w:r>
      <w:r>
        <w:rPr>
          <w:rFonts w:hint="eastAsia"/>
          <w:b/>
          <w:color w:val="auto"/>
          <w:highlight w:val="none"/>
          <w:lang w:eastAsia="zh-CN"/>
        </w:rPr>
        <w:t>兴宁市2025年粮食生产先进县激励资金项目</w:t>
      </w:r>
      <w:r>
        <w:rPr>
          <w:color w:val="auto"/>
          <w:highlight w:val="none"/>
        </w:rPr>
        <w:t xml:space="preserve">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0"/>
        <w:gridCol w:w="416"/>
        <w:gridCol w:w="6306"/>
      </w:tblGrid>
      <w:tr w14:paraId="5AB11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tcPr>
          <w:p w14:paraId="30E333EE">
            <w:pPr>
              <w:pStyle w:val="4"/>
              <w:rPr>
                <w:color w:val="auto"/>
                <w:highlight w:val="none"/>
              </w:rPr>
            </w:pPr>
            <w:r>
              <w:rPr>
                <w:color w:val="auto"/>
                <w:highlight w:val="none"/>
              </w:rPr>
              <w:t>参数性质</w:t>
            </w:r>
          </w:p>
        </w:tc>
        <w:tc>
          <w:tcPr>
            <w:tcW w:w="416" w:type="dxa"/>
          </w:tcPr>
          <w:p w14:paraId="5D6A9C84">
            <w:pPr>
              <w:pStyle w:val="4"/>
              <w:rPr>
                <w:color w:val="auto"/>
                <w:highlight w:val="none"/>
              </w:rPr>
            </w:pPr>
            <w:r>
              <w:rPr>
                <w:color w:val="auto"/>
                <w:highlight w:val="none"/>
              </w:rPr>
              <w:t>序号</w:t>
            </w:r>
          </w:p>
        </w:tc>
        <w:tc>
          <w:tcPr>
            <w:tcW w:w="6306" w:type="dxa"/>
          </w:tcPr>
          <w:p w14:paraId="038A849E">
            <w:pPr>
              <w:pStyle w:val="4"/>
              <w:rPr>
                <w:color w:val="auto"/>
                <w:highlight w:val="none"/>
              </w:rPr>
            </w:pPr>
            <w:r>
              <w:rPr>
                <w:color w:val="auto"/>
                <w:highlight w:val="none"/>
              </w:rPr>
              <w:t>具体技术(参数)要求</w:t>
            </w:r>
          </w:p>
        </w:tc>
      </w:tr>
      <w:tr w14:paraId="0057C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tcPr>
          <w:p w14:paraId="1083EC8F">
            <w:pPr>
              <w:rPr>
                <w:color w:val="auto"/>
                <w:highlight w:val="none"/>
              </w:rPr>
            </w:pPr>
          </w:p>
        </w:tc>
        <w:tc>
          <w:tcPr>
            <w:tcW w:w="416" w:type="dxa"/>
          </w:tcPr>
          <w:p w14:paraId="65E463DD">
            <w:pPr>
              <w:pStyle w:val="4"/>
              <w:rPr>
                <w:color w:val="auto"/>
                <w:highlight w:val="none"/>
              </w:rPr>
            </w:pPr>
            <w:r>
              <w:rPr>
                <w:color w:val="auto"/>
                <w:highlight w:val="none"/>
              </w:rPr>
              <w:t>1</w:t>
            </w:r>
          </w:p>
        </w:tc>
        <w:tc>
          <w:tcPr>
            <w:tcW w:w="6306" w:type="dxa"/>
          </w:tcPr>
          <w:p w14:paraId="771576E9">
            <w:pPr>
              <w:pStyle w:val="4"/>
              <w:rPr>
                <w:rFonts w:hint="default" w:eastAsiaTheme="minorEastAsia"/>
                <w:color w:val="auto"/>
                <w:highlight w:val="none"/>
                <w:lang w:val="en-US" w:eastAsia="zh-CN"/>
              </w:rPr>
            </w:pPr>
            <w:r>
              <w:rPr>
                <w:rFonts w:hint="eastAsia"/>
                <w:color w:val="auto"/>
                <w:highlight w:val="none"/>
                <w:lang w:val="en-US" w:eastAsia="zh-CN"/>
              </w:rPr>
              <w:t>具体详见采购需求内容。</w:t>
            </w:r>
          </w:p>
        </w:tc>
      </w:tr>
      <w:tr w14:paraId="3D6AB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tcPr>
          <w:p w14:paraId="45FE9BE3">
            <w:pPr>
              <w:pStyle w:val="4"/>
              <w:rPr>
                <w:color w:val="auto"/>
                <w:highlight w:val="none"/>
              </w:rPr>
            </w:pPr>
            <w:r>
              <w:rPr>
                <w:color w:val="auto"/>
                <w:highlight w:val="none"/>
              </w:rPr>
              <w:t>说明</w:t>
            </w:r>
          </w:p>
        </w:tc>
        <w:tc>
          <w:tcPr>
            <w:tcW w:w="6722" w:type="dxa"/>
            <w:gridSpan w:val="2"/>
          </w:tcPr>
          <w:p w14:paraId="42DE02C3">
            <w:pPr>
              <w:pStyle w:val="4"/>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打“▲”号条款为重要技术参数，若有部分“▲”条款未响应或不满足，不作为无效投标条款。</w:t>
            </w:r>
          </w:p>
        </w:tc>
      </w:tr>
    </w:tbl>
    <w:p w14:paraId="1764399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24D96"/>
    <w:multiLevelType w:val="singleLevel"/>
    <w:tmpl w:val="CCC24D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A2CEB"/>
    <w:rsid w:val="637A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2026-06-29T08:26:00Z</dcterms:created>
  <dc:creator>YC</dc:creator>
  <cp:lastModifiedBy>YC</cp:lastModifiedBy>
  <dcterms:modified xsi:type="dcterms:W3CDTF">2026-06-29T08:27:04Z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60A66786C9584EFCB45EFDF71D8365FE_11</vt:lpwstr>
  </property>
  <property fmtid="{D5CDD505-2E9C-101B-9397-08002B2CF9AE}" pid="4" name="KSOTemplateDocerSaveRecord">
    <vt:lpwstr>eyJoZGlkIjoiMTkxNzkxMTA2YWNhNTliNGJmN2YwZWExYzJlMmI1ZjkiLCJ1c2VySWQiOiIyNDc2OTY1NzAifQ==</vt:lpwstr>
  </property>
</Properties>
</file>